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3E848" w14:textId="77777777" w:rsidR="004678D2" w:rsidRDefault="004678D2" w:rsidP="007B294D">
      <w:pPr>
        <w:jc w:val="center"/>
        <w:rPr>
          <w:rFonts w:ascii="Arial" w:hAnsi="Arial" w:cs="Arial"/>
          <w:lang w:eastAsia="ko-KR"/>
        </w:rPr>
      </w:pPr>
    </w:p>
    <w:p w14:paraId="1792FDAE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7D1AC8C9" w14:textId="64803530" w:rsidR="00506C33" w:rsidRPr="00667900" w:rsidRDefault="005949CB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December 3</w:t>
      </w:r>
      <w:r w:rsidR="008B07E4">
        <w:rPr>
          <w:rFonts w:asciiTheme="minorHAnsi" w:hAnsiTheme="minorHAnsi" w:cs="Arial"/>
          <w:sz w:val="28"/>
          <w:szCs w:val="28"/>
        </w:rPr>
        <w:t>, 202</w:t>
      </w:r>
      <w:r>
        <w:rPr>
          <w:rFonts w:asciiTheme="minorHAnsi" w:hAnsiTheme="minorHAnsi" w:cs="Arial"/>
          <w:sz w:val="28"/>
          <w:szCs w:val="28"/>
        </w:rPr>
        <w:t>0</w:t>
      </w:r>
    </w:p>
    <w:p w14:paraId="0795B94A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5F1FF83" w14:textId="060B4EA0" w:rsidR="00D46112" w:rsidRPr="00477286" w:rsidRDefault="00D46112" w:rsidP="00D46112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</w:t>
      </w:r>
      <w:r w:rsidR="00F563FC" w:rsidRPr="002419CB">
        <w:rPr>
          <w:rFonts w:ascii="Calibri" w:hAnsi="Calibri" w:cs="Arial"/>
          <w:sz w:val="22"/>
          <w:szCs w:val="22"/>
          <w:u w:val="single"/>
        </w:rPr>
        <w:t xml:space="preserve">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B5098A" w:rsidRPr="00477286">
        <w:rPr>
          <w:rFonts w:ascii="Calibri" w:hAnsi="Calibri" w:cs="Arial"/>
          <w:sz w:val="22"/>
          <w:szCs w:val="22"/>
        </w:rPr>
        <w:t>Nancy Diller, Carol Van Der Karr, Bru</w:t>
      </w:r>
      <w:r w:rsidR="00BF4099" w:rsidRPr="00477286">
        <w:rPr>
          <w:rFonts w:ascii="Calibri" w:hAnsi="Calibri" w:cs="Arial"/>
          <w:sz w:val="22"/>
          <w:szCs w:val="22"/>
        </w:rPr>
        <w:t>ce Mattingly, Steve Cunningham</w:t>
      </w:r>
      <w:r w:rsidRPr="00477286">
        <w:rPr>
          <w:rFonts w:ascii="Calibri" w:hAnsi="Calibri" w:cs="Arial"/>
          <w:sz w:val="22"/>
          <w:szCs w:val="22"/>
        </w:rPr>
        <w:t xml:space="preserve">, Daniel </w:t>
      </w:r>
      <w:r w:rsidR="00B5098A" w:rsidRPr="00477286">
        <w:rPr>
          <w:rFonts w:ascii="Calibri" w:hAnsi="Calibri" w:cs="Arial"/>
          <w:sz w:val="22"/>
          <w:szCs w:val="22"/>
        </w:rPr>
        <w:t xml:space="preserve">Radus, </w:t>
      </w:r>
      <w:r w:rsidR="00624FF8" w:rsidRPr="00477286">
        <w:rPr>
          <w:rFonts w:ascii="Calibri" w:hAnsi="Calibri" w:cs="Arial"/>
          <w:sz w:val="22"/>
          <w:szCs w:val="22"/>
        </w:rPr>
        <w:t>Gregory Ketcham, Ryan Fiddler</w:t>
      </w:r>
      <w:r w:rsidRPr="00477286">
        <w:rPr>
          <w:rFonts w:ascii="Calibri" w:hAnsi="Calibri" w:cs="Arial"/>
          <w:sz w:val="22"/>
          <w:szCs w:val="22"/>
        </w:rPr>
        <w:t>,</w:t>
      </w:r>
      <w:r w:rsidR="00B5098A" w:rsidRPr="00477286">
        <w:rPr>
          <w:rFonts w:ascii="Calibri" w:hAnsi="Calibri" w:cs="Arial"/>
          <w:sz w:val="22"/>
          <w:szCs w:val="22"/>
        </w:rPr>
        <w:t xml:space="preserve"> Eunyoun</w:t>
      </w:r>
      <w:r w:rsidR="00624FF8" w:rsidRPr="00477286">
        <w:rPr>
          <w:rFonts w:ascii="Calibri" w:hAnsi="Calibri" w:cs="Arial"/>
          <w:sz w:val="22"/>
          <w:szCs w:val="22"/>
        </w:rPr>
        <w:t>g</w:t>
      </w:r>
      <w:r w:rsidR="00B5098A" w:rsidRPr="00477286">
        <w:rPr>
          <w:rFonts w:ascii="Calibri" w:hAnsi="Calibri" w:cs="Arial"/>
          <w:sz w:val="22"/>
          <w:szCs w:val="22"/>
        </w:rPr>
        <w:t xml:space="preserve"> Jung, Doug Armstead</w:t>
      </w:r>
      <w:r w:rsidR="0091331A" w:rsidRPr="00477286">
        <w:rPr>
          <w:rFonts w:ascii="Calibri" w:hAnsi="Calibri" w:cs="Arial"/>
          <w:sz w:val="22"/>
          <w:szCs w:val="22"/>
        </w:rPr>
        <w:t>, Mec</w:t>
      </w:r>
      <w:r w:rsidR="005949CB">
        <w:rPr>
          <w:rFonts w:ascii="Calibri" w:hAnsi="Calibri" w:cs="Arial"/>
          <w:sz w:val="22"/>
          <w:szCs w:val="22"/>
        </w:rPr>
        <w:t>k</w:t>
      </w:r>
      <w:r w:rsidR="0091331A" w:rsidRPr="00477286">
        <w:rPr>
          <w:rFonts w:ascii="Calibri" w:hAnsi="Calibri" w:cs="Arial"/>
          <w:sz w:val="22"/>
          <w:szCs w:val="22"/>
        </w:rPr>
        <w:t>e Nagel, Lauren Delaubell,</w:t>
      </w:r>
      <w:r w:rsidR="000E076E" w:rsidRPr="00477286">
        <w:rPr>
          <w:rFonts w:ascii="Calibri" w:hAnsi="Calibri" w:cs="Arial"/>
          <w:sz w:val="22"/>
          <w:szCs w:val="22"/>
        </w:rPr>
        <w:t xml:space="preserve"> </w:t>
      </w:r>
    </w:p>
    <w:p w14:paraId="7FE3FDD5" w14:textId="77777777" w:rsidR="003B03C3" w:rsidRPr="00477286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688DCBE3" w14:textId="144ED270" w:rsidR="00D46112" w:rsidRPr="004678D2" w:rsidRDefault="00C20440" w:rsidP="00BF4099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477286"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 w:rsidRPr="00477286">
        <w:rPr>
          <w:rFonts w:ascii="Calibri" w:hAnsi="Calibri" w:cs="Arial"/>
          <w:sz w:val="22"/>
          <w:szCs w:val="22"/>
          <w:u w:val="single"/>
        </w:rPr>
        <w:t>Absent</w:t>
      </w:r>
      <w:r w:rsidR="008B07E4" w:rsidRPr="00477286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91331A" w:rsidRPr="00477286">
        <w:rPr>
          <w:rFonts w:ascii="Calibri" w:hAnsi="Calibri" w:cs="Arial"/>
          <w:sz w:val="22"/>
          <w:szCs w:val="22"/>
        </w:rPr>
        <w:t xml:space="preserve"> </w:t>
      </w:r>
      <w:r w:rsidR="00AC5C1A" w:rsidRPr="00477286">
        <w:rPr>
          <w:rFonts w:ascii="Calibri" w:hAnsi="Calibri" w:cs="Arial"/>
          <w:sz w:val="22"/>
          <w:szCs w:val="22"/>
        </w:rPr>
        <w:t xml:space="preserve">Daniel </w:t>
      </w:r>
      <w:proofErr w:type="spellStart"/>
      <w:r w:rsidR="00AC5C1A" w:rsidRPr="00477286">
        <w:rPr>
          <w:rFonts w:ascii="Calibri" w:hAnsi="Calibri" w:cs="Arial"/>
          <w:sz w:val="22"/>
          <w:szCs w:val="22"/>
        </w:rPr>
        <w:t>Reischer</w:t>
      </w:r>
      <w:proofErr w:type="spellEnd"/>
      <w:r w:rsidR="00477286" w:rsidRPr="00477286">
        <w:rPr>
          <w:rFonts w:ascii="Calibri" w:hAnsi="Calibri" w:cs="Arial"/>
          <w:sz w:val="22"/>
          <w:szCs w:val="22"/>
        </w:rPr>
        <w:t>, Garrett Otto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643188BD" w14:textId="77777777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22D3B8E1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2F685B6B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5187DCE1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0E5FBA82" w14:textId="77777777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B57B52B" w14:textId="77777777" w:rsidR="003B03C3" w:rsidRDefault="00B5098A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ECE0BC9" w14:textId="77777777" w:rsidR="003B03C3" w:rsidRPr="0091331A" w:rsidRDefault="00B5098A" w:rsidP="009B42B0">
            <w:pPr>
              <w:rPr>
                <w:rFonts w:asciiTheme="minorHAnsi" w:hAnsiTheme="minorHAnsi"/>
                <w:sz w:val="22"/>
                <w:szCs w:val="22"/>
              </w:rPr>
            </w:pPr>
            <w:r w:rsidRPr="0091331A">
              <w:rPr>
                <w:rFonts w:asciiTheme="minorHAnsi" w:hAnsiTheme="minorHAnsi"/>
                <w:sz w:val="22"/>
                <w:szCs w:val="22"/>
              </w:rPr>
              <w:t>No corrections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1A6FDB4" w14:textId="77777777" w:rsidR="003B03C3" w:rsidRPr="00506C33" w:rsidRDefault="00B5098A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9B42B0" w:rsidRPr="00506C33" w14:paraId="00102976" w14:textId="77777777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982D815" w14:textId="77777777" w:rsidR="00AD335B" w:rsidRPr="00D9694D" w:rsidRDefault="00D9694D" w:rsidP="00AD335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  <w:lang w:eastAsia="ko-KR"/>
              </w:rPr>
            </w:pPr>
            <w:r w:rsidRPr="00D9694D"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 xml:space="preserve">Review any GE proposals in </w:t>
            </w:r>
            <w:proofErr w:type="spellStart"/>
            <w:r w:rsidRPr="00D9694D"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>Curriculog</w:t>
            </w:r>
            <w:proofErr w:type="spellEnd"/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BA862B6" w14:textId="77777777" w:rsidR="00C007B0" w:rsidRDefault="00AC5C1A" w:rsidP="00C007B0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PHI 111 course</w:t>
            </w:r>
            <w:r w:rsidR="00C007B0">
              <w:rPr>
                <w:rFonts w:asciiTheme="minorHAnsi" w:hAnsiTheme="minorHAnsi"/>
                <w:sz w:val="22"/>
                <w:szCs w:val="22"/>
              </w:rPr>
              <w:t xml:space="preserve"> (Symbolic Logic) was submitted to add GE 1 attribute. GE committee reviewed its proposal and syllabus. </w:t>
            </w:r>
          </w:p>
          <w:p w14:paraId="05DFCC18" w14:textId="77777777" w:rsidR="00C007B0" w:rsidRDefault="00C007B0" w:rsidP="00C007B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C007B0">
              <w:rPr>
                <w:rFonts w:asciiTheme="minorHAnsi" w:hAnsiTheme="minorHAnsi"/>
                <w:sz w:val="22"/>
                <w:szCs w:val="22"/>
              </w:rPr>
              <w:t>GE Category, goals, and learning outcomes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are missing</w:t>
            </w:r>
            <w:r w:rsidR="00D4568C">
              <w:rPr>
                <w:rFonts w:asciiTheme="minorHAnsi" w:hAnsiTheme="minorHAnsi"/>
                <w:sz w:val="22"/>
                <w:szCs w:val="22"/>
              </w:rPr>
              <w:t xml:space="preserve"> in the syllabus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5A55E73" w14:textId="77777777" w:rsidR="00C007B0" w:rsidRDefault="00C007B0" w:rsidP="00C007B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It was not clear h</w:t>
            </w:r>
            <w:r w:rsidRPr="00C007B0">
              <w:rPr>
                <w:rFonts w:asciiTheme="minorHAnsi" w:hAnsiTheme="minorHAnsi"/>
                <w:sz w:val="22"/>
                <w:szCs w:val="22"/>
              </w:rPr>
              <w:t xml:space="preserve">ow the writing requirement </w:t>
            </w:r>
            <w:r>
              <w:rPr>
                <w:rFonts w:asciiTheme="minorHAnsi" w:hAnsiTheme="minorHAnsi"/>
                <w:sz w:val="22"/>
                <w:szCs w:val="22"/>
              </w:rPr>
              <w:t>(5 pages min.) will be met.</w:t>
            </w:r>
          </w:p>
          <w:p w14:paraId="642568A5" w14:textId="77777777" w:rsidR="00C007B0" w:rsidRDefault="00C007B0" w:rsidP="00C007B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There were questions about what quantitative methods would be used to solve problems regarding GE 1 SLO #3). </w:t>
            </w:r>
          </w:p>
          <w:p w14:paraId="0A2C8059" w14:textId="77777777" w:rsidR="00AC5C1A" w:rsidRDefault="00C007B0" w:rsidP="00C007B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It was also suggested that </w:t>
            </w:r>
            <w:r w:rsidRPr="00C007B0">
              <w:rPr>
                <w:rFonts w:asciiTheme="minorHAnsi" w:hAnsiTheme="minorHAnsi"/>
                <w:sz w:val="22"/>
                <w:szCs w:val="22"/>
              </w:rPr>
              <w:t xml:space="preserve">the student learning outcomes </w:t>
            </w:r>
            <w:r w:rsidR="00D4568C">
              <w:rPr>
                <w:rFonts w:asciiTheme="minorHAnsi" w:hAnsiTheme="minorHAnsi"/>
                <w:sz w:val="22"/>
                <w:szCs w:val="22"/>
              </w:rPr>
              <w:t xml:space="preserve">could </w:t>
            </w:r>
            <w:r>
              <w:rPr>
                <w:rFonts w:asciiTheme="minorHAnsi" w:hAnsiTheme="minorHAnsi"/>
                <w:sz w:val="22"/>
                <w:szCs w:val="22"/>
              </w:rPr>
              <w:t>be clarified to</w:t>
            </w:r>
            <w:r w:rsidR="00E75B63">
              <w:rPr>
                <w:rFonts w:asciiTheme="minorHAnsi" w:hAnsiTheme="minorHAnsi"/>
                <w:sz w:val="22"/>
                <w:szCs w:val="22"/>
              </w:rPr>
              <w:t xml:space="preserve"> have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better communication with students. </w:t>
            </w:r>
          </w:p>
          <w:p w14:paraId="68449A37" w14:textId="77777777" w:rsidR="00716376" w:rsidRPr="00C007B0" w:rsidRDefault="00477286" w:rsidP="00C007B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committee voting members voted and decided the revision for this proposal by 6:1.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ADD1F8D" w14:textId="77777777" w:rsidR="009B42B0" w:rsidRPr="00506C33" w:rsidRDefault="00C007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Request to </w:t>
            </w:r>
            <w:r w:rsidR="00477286">
              <w:rPr>
                <w:rFonts w:ascii="Calibri" w:hAnsi="Calibri"/>
                <w:b/>
                <w:sz w:val="22"/>
                <w:szCs w:val="22"/>
              </w:rPr>
              <w:t>revise</w:t>
            </w:r>
          </w:p>
        </w:tc>
      </w:tr>
      <w:tr w:rsidR="00210B86" w:rsidRPr="00506C33" w14:paraId="1FEF0E52" w14:textId="77777777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713410E" w14:textId="77777777" w:rsidR="00210B86" w:rsidRPr="00C007B0" w:rsidRDefault="00D9694D" w:rsidP="00B909CC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C007B0">
              <w:rPr>
                <w:rFonts w:ascii="Calibri" w:hAnsi="Calibri"/>
                <w:b/>
                <w:sz w:val="22"/>
                <w:szCs w:val="22"/>
              </w:rPr>
              <w:t>Assessment Updates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8B35782" w14:textId="2F303CF0" w:rsidR="00D4568C" w:rsidRDefault="000837D8" w:rsidP="00D4568C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 1, GE 4</w:t>
            </w:r>
            <w:bookmarkStart w:id="0" w:name="_GoBack"/>
            <w:bookmarkEnd w:id="0"/>
            <w:r w:rsidR="00D4568C">
              <w:rPr>
                <w:rFonts w:asciiTheme="minorHAnsi" w:hAnsiTheme="minorHAnsi"/>
                <w:sz w:val="22"/>
                <w:szCs w:val="22"/>
              </w:rPr>
              <w:t xml:space="preserve"> and WI sub-committees</w:t>
            </w:r>
            <w:r w:rsidR="00E75B63">
              <w:rPr>
                <w:rFonts w:asciiTheme="minorHAnsi" w:hAnsiTheme="minorHAnsi"/>
                <w:sz w:val="22"/>
                <w:szCs w:val="22"/>
              </w:rPr>
              <w:t xml:space="preserve"> have been review</w:t>
            </w:r>
            <w:r w:rsidR="00E75B63">
              <w:rPr>
                <w:rFonts w:asciiTheme="minorHAnsi" w:hAnsiTheme="minorHAnsi"/>
                <w:sz w:val="22"/>
                <w:szCs w:val="22"/>
                <w:lang w:eastAsia="ko-KR"/>
              </w:rPr>
              <w:t xml:space="preserve">ing </w:t>
            </w:r>
            <w:r w:rsidR="00D4568C">
              <w:rPr>
                <w:rFonts w:asciiTheme="minorHAnsi" w:hAnsiTheme="minorHAnsi"/>
                <w:sz w:val="22"/>
                <w:szCs w:val="22"/>
              </w:rPr>
              <w:t>submission</w:t>
            </w:r>
            <w:r w:rsidR="00E75B63">
              <w:rPr>
                <w:rFonts w:asciiTheme="minorHAnsi" w:hAnsiTheme="minorHAnsi"/>
                <w:sz w:val="22"/>
                <w:szCs w:val="22"/>
              </w:rPr>
              <w:t>s</w:t>
            </w:r>
            <w:r w:rsidR="00D4568C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330D7CE" w14:textId="77777777" w:rsidR="00D4568C" w:rsidRDefault="00D4568C" w:rsidP="00D4568C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Waiting for more submission</w:t>
            </w:r>
            <w:r w:rsidR="00E75B63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(one more in GE 1, ten more in WI)</w:t>
            </w:r>
          </w:p>
          <w:p w14:paraId="63D3EFB7" w14:textId="77777777" w:rsidR="00D4568C" w:rsidRPr="00D4568C" w:rsidRDefault="00D4568C" w:rsidP="00D4568C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Committee determined December 11</w:t>
            </w:r>
            <w:r w:rsidRPr="00D4568C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as </w:t>
            </w:r>
            <w:r w:rsidR="00E75B63">
              <w:rPr>
                <w:rFonts w:asciiTheme="minorHAnsi" w:hAnsiTheme="minorHAnsi"/>
                <w:sz w:val="22"/>
                <w:szCs w:val="22"/>
              </w:rPr>
              <w:t>the cut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off date for reviewing this year. </w:t>
            </w:r>
            <w:r w:rsidR="00477286">
              <w:rPr>
                <w:rFonts w:asciiTheme="minorHAnsi" w:hAnsiTheme="minorHAnsi"/>
                <w:sz w:val="22"/>
                <w:szCs w:val="22"/>
              </w:rPr>
              <w:t xml:space="preserve">The subcommittees are going to review any submission that are turned in by then.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Any assessment submitted after that date will be reviewed in January. 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4A02D1A" w14:textId="77777777" w:rsidR="00210B86" w:rsidRDefault="00210B86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20C48" w:rsidRPr="00506C33" w14:paraId="795C9D37" w14:textId="77777777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1052B65" w14:textId="77777777" w:rsidR="00820C48" w:rsidRPr="006A5574" w:rsidRDefault="00820C48" w:rsidP="00820C4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E5E7FBC" w14:textId="77777777" w:rsidR="00820C48" w:rsidRDefault="00820C48" w:rsidP="00820C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A57120E" w14:textId="77777777" w:rsidR="00820C48" w:rsidRPr="00506C33" w:rsidRDefault="00BF4099" w:rsidP="00820C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adjourned</w:t>
            </w:r>
            <w:r w:rsidR="0091331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4568C">
              <w:rPr>
                <w:rFonts w:ascii="Calibri" w:hAnsi="Calibri"/>
                <w:b/>
                <w:sz w:val="22"/>
                <w:szCs w:val="22"/>
              </w:rPr>
              <w:t>9:30</w:t>
            </w:r>
            <w:r w:rsidR="0091331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20C48">
              <w:rPr>
                <w:rFonts w:ascii="Calibri" w:hAnsi="Calibri"/>
                <w:b/>
                <w:sz w:val="22"/>
                <w:szCs w:val="22"/>
              </w:rPr>
              <w:t>am</w:t>
            </w:r>
          </w:p>
        </w:tc>
      </w:tr>
    </w:tbl>
    <w:p w14:paraId="71084A2D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612A2A5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73F68F58" w14:textId="77777777" w:rsidR="00820C48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</w:p>
    <w:p w14:paraId="54E62964" w14:textId="77777777" w:rsidR="0072704A" w:rsidRDefault="0091331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Eunyoung Jung</w:t>
      </w:r>
      <w:r w:rsidR="00F74A0A" w:rsidRPr="00F74A0A">
        <w:rPr>
          <w:rFonts w:ascii="Calibri" w:hAnsi="Calibri" w:cs="Arial"/>
          <w:sz w:val="18"/>
          <w:szCs w:val="18"/>
        </w:rPr>
        <w:t xml:space="preserve"> </w:t>
      </w:r>
    </w:p>
    <w:p w14:paraId="1CCEB613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30A2D" w14:textId="77777777" w:rsidR="00E2692D" w:rsidRDefault="00E2692D" w:rsidP="00097DBB">
      <w:r>
        <w:separator/>
      </w:r>
    </w:p>
  </w:endnote>
  <w:endnote w:type="continuationSeparator" w:id="0">
    <w:p w14:paraId="0AFDDE2A" w14:textId="77777777" w:rsidR="00E2692D" w:rsidRDefault="00E2692D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7F057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BBB16" w14:textId="77777777" w:rsidR="00E2692D" w:rsidRDefault="00E2692D" w:rsidP="00097DBB">
      <w:r>
        <w:separator/>
      </w:r>
    </w:p>
  </w:footnote>
  <w:footnote w:type="continuationSeparator" w:id="0">
    <w:p w14:paraId="509C2DA7" w14:textId="77777777" w:rsidR="00E2692D" w:rsidRDefault="00E2692D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524"/>
    <w:multiLevelType w:val="hybridMultilevel"/>
    <w:tmpl w:val="5A4EF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10F"/>
    <w:multiLevelType w:val="hybridMultilevel"/>
    <w:tmpl w:val="1C60F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4754D"/>
    <w:multiLevelType w:val="hybridMultilevel"/>
    <w:tmpl w:val="D2EC39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435B359C"/>
    <w:multiLevelType w:val="hybridMultilevel"/>
    <w:tmpl w:val="CC2A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E6867"/>
    <w:multiLevelType w:val="multilevel"/>
    <w:tmpl w:val="0CD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7199A"/>
    <w:multiLevelType w:val="hybridMultilevel"/>
    <w:tmpl w:val="E9D8A952"/>
    <w:lvl w:ilvl="0" w:tplc="FE743866">
      <w:start w:val="10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F2F23"/>
    <w:multiLevelType w:val="hybridMultilevel"/>
    <w:tmpl w:val="F8D21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650F9"/>
    <w:multiLevelType w:val="hybridMultilevel"/>
    <w:tmpl w:val="3BD829C6"/>
    <w:lvl w:ilvl="0" w:tplc="79CE5C88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14342"/>
    <w:multiLevelType w:val="hybridMultilevel"/>
    <w:tmpl w:val="D1E609FE"/>
    <w:lvl w:ilvl="0" w:tplc="611CF62E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9"/>
  </w:num>
  <w:num w:numId="5">
    <w:abstractNumId w:val="16"/>
  </w:num>
  <w:num w:numId="6">
    <w:abstractNumId w:val="8"/>
  </w:num>
  <w:num w:numId="7">
    <w:abstractNumId w:val="10"/>
  </w:num>
  <w:num w:numId="8">
    <w:abstractNumId w:val="12"/>
  </w:num>
  <w:num w:numId="9">
    <w:abstractNumId w:val="15"/>
  </w:num>
  <w:num w:numId="10">
    <w:abstractNumId w:val="2"/>
  </w:num>
  <w:num w:numId="11">
    <w:abstractNumId w:val="18"/>
  </w:num>
  <w:num w:numId="12">
    <w:abstractNumId w:val="3"/>
  </w:num>
  <w:num w:numId="13">
    <w:abstractNumId w:val="4"/>
  </w:num>
  <w:num w:numId="14">
    <w:abstractNumId w:val="0"/>
  </w:num>
  <w:num w:numId="15">
    <w:abstractNumId w:val="11"/>
  </w:num>
  <w:num w:numId="16">
    <w:abstractNumId w:val="5"/>
  </w:num>
  <w:num w:numId="17">
    <w:abstractNumId w:val="6"/>
  </w:num>
  <w:num w:numId="18">
    <w:abstractNumId w:val="13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837D8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076E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77286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49CB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24FF8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376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0C48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A5B6D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331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203B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5C1A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16E03"/>
    <w:rsid w:val="00B21957"/>
    <w:rsid w:val="00B2424D"/>
    <w:rsid w:val="00B336FF"/>
    <w:rsid w:val="00B352FE"/>
    <w:rsid w:val="00B37B37"/>
    <w:rsid w:val="00B45B47"/>
    <w:rsid w:val="00B5098A"/>
    <w:rsid w:val="00B62571"/>
    <w:rsid w:val="00B74988"/>
    <w:rsid w:val="00B909CC"/>
    <w:rsid w:val="00B91202"/>
    <w:rsid w:val="00BA1951"/>
    <w:rsid w:val="00BB2F5F"/>
    <w:rsid w:val="00BB3F78"/>
    <w:rsid w:val="00BB5162"/>
    <w:rsid w:val="00BB6661"/>
    <w:rsid w:val="00BC1457"/>
    <w:rsid w:val="00BC3A16"/>
    <w:rsid w:val="00BD341F"/>
    <w:rsid w:val="00BD6DE4"/>
    <w:rsid w:val="00BD7E67"/>
    <w:rsid w:val="00BF1990"/>
    <w:rsid w:val="00BF4099"/>
    <w:rsid w:val="00BF7D49"/>
    <w:rsid w:val="00C007B0"/>
    <w:rsid w:val="00C03865"/>
    <w:rsid w:val="00C124F8"/>
    <w:rsid w:val="00C20440"/>
    <w:rsid w:val="00C24CA2"/>
    <w:rsid w:val="00C2626A"/>
    <w:rsid w:val="00C27980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4568C"/>
    <w:rsid w:val="00D46112"/>
    <w:rsid w:val="00D50970"/>
    <w:rsid w:val="00D53525"/>
    <w:rsid w:val="00D61B92"/>
    <w:rsid w:val="00D6596C"/>
    <w:rsid w:val="00D72CC5"/>
    <w:rsid w:val="00D7458C"/>
    <w:rsid w:val="00D80CC2"/>
    <w:rsid w:val="00D84291"/>
    <w:rsid w:val="00D9694D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92D"/>
    <w:rsid w:val="00E30046"/>
    <w:rsid w:val="00E3633A"/>
    <w:rsid w:val="00E57F3A"/>
    <w:rsid w:val="00E60E28"/>
    <w:rsid w:val="00E64199"/>
    <w:rsid w:val="00E66892"/>
    <w:rsid w:val="00E701BC"/>
    <w:rsid w:val="00E75B63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18E49D"/>
  <w15:docId w15:val="{BAAD2BEA-4094-4B5C-9816-1B09A949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Batang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6112"/>
    <w:pPr>
      <w:spacing w:before="100" w:beforeAutospacing="1" w:after="100" w:afterAutospacing="1"/>
    </w:pPr>
    <w:rPr>
      <w:rFonts w:ascii="Times New Roman" w:eastAsia="Times New Roman" w:hAnsi="Times New Roman"/>
      <w:lang w:eastAsia="ko-KR"/>
    </w:rPr>
  </w:style>
  <w:style w:type="character" w:styleId="Strong">
    <w:name w:val="Strong"/>
    <w:basedOn w:val="DefaultParagraphFont"/>
    <w:uiPriority w:val="22"/>
    <w:qFormat/>
    <w:rsid w:val="00BF4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Lauren deLaubell</cp:lastModifiedBy>
  <cp:revision>2</cp:revision>
  <cp:lastPrinted>2012-02-03T14:02:00Z</cp:lastPrinted>
  <dcterms:created xsi:type="dcterms:W3CDTF">2021-02-11T13:49:00Z</dcterms:created>
  <dcterms:modified xsi:type="dcterms:W3CDTF">2021-02-11T13:49:00Z</dcterms:modified>
</cp:coreProperties>
</file>